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07A0" w14:textId="5A166B4C" w:rsidR="00774257" w:rsidRPr="00774257" w:rsidRDefault="00774257" w:rsidP="00774257">
      <w:pPr>
        <w:rPr>
          <w:i/>
          <w:lang w:val="it-IT"/>
        </w:rPr>
      </w:pPr>
      <w:r w:rsidRPr="00774257">
        <w:rPr>
          <w:lang w:val="it-IT"/>
        </w:rPr>
        <w:t xml:space="preserve">      </w:t>
      </w:r>
      <w:r w:rsidRPr="00774257">
        <w:rPr>
          <w:noProof/>
          <w:lang w:val="en-US"/>
        </w:rPr>
        <w:drawing>
          <wp:inline distT="0" distB="0" distL="0" distR="0" wp14:anchorId="4051DD24" wp14:editId="3CD5331B">
            <wp:extent cx="1009650" cy="1466850"/>
            <wp:effectExtent l="0" t="0" r="0" b="0"/>
            <wp:docPr id="1488337448" name="Imagine 9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57">
        <w:rPr>
          <w:lang w:val="it-IT"/>
        </w:rPr>
        <w:t xml:space="preserve">                                                                                   </w:t>
      </w:r>
      <w:r w:rsidRPr="00774257">
        <w:rPr>
          <w:lang w:val="it-IT"/>
        </w:rPr>
        <w:tab/>
      </w:r>
      <w:r w:rsidRPr="00774257">
        <w:rPr>
          <w:noProof/>
          <w:lang w:val="en-US"/>
        </w:rPr>
        <w:drawing>
          <wp:inline distT="0" distB="0" distL="0" distR="0" wp14:anchorId="1F9D8F1D" wp14:editId="227F1ECB">
            <wp:extent cx="1323975" cy="1457325"/>
            <wp:effectExtent l="0" t="0" r="9525" b="9525"/>
            <wp:docPr id="256110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257">
        <w:rPr>
          <w:lang w:val="it-IT"/>
        </w:rPr>
        <w:t xml:space="preserve">           </w:t>
      </w:r>
    </w:p>
    <w:p w14:paraId="0A94ECC2" w14:textId="30DB805A" w:rsidR="00A42493" w:rsidRDefault="00774257" w:rsidP="00A42493">
      <w:pPr>
        <w:rPr>
          <w:b/>
          <w:lang w:val="it-IT"/>
        </w:rPr>
      </w:pPr>
      <w:r w:rsidRPr="007742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D3CE6" wp14:editId="1D18D8DF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663437051" name="Dreptunghi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B45E" id="Dreptunghi 14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7742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63825" wp14:editId="13C1912D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413458223" name="Dreptunghi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DD95F" id="Dreptunghi 12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7742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4AF31" wp14:editId="32CAA795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97470765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36B80" id="Dreptunghi 10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774257">
        <w:rPr>
          <w:b/>
          <w:lang w:val="it-IT"/>
        </w:rPr>
        <w:tab/>
      </w:r>
    </w:p>
    <w:p w14:paraId="45FD9B10" w14:textId="77777777" w:rsidR="00A42493" w:rsidRDefault="00A42493" w:rsidP="00A42493">
      <w:pPr>
        <w:rPr>
          <w:rFonts w:ascii="Times New Roman" w:hAnsi="Times New Roman" w:cs="Times New Roman"/>
          <w:b/>
          <w:sz w:val="24"/>
          <w:szCs w:val="24"/>
        </w:rPr>
      </w:pPr>
    </w:p>
    <w:p w14:paraId="48D375D9" w14:textId="033C6662" w:rsidR="00774257" w:rsidRPr="00A42493" w:rsidRDefault="00774257" w:rsidP="00A42493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493">
        <w:rPr>
          <w:rFonts w:ascii="Times New Roman" w:hAnsi="Times New Roman" w:cs="Times New Roman"/>
          <w:b/>
          <w:bCs/>
          <w:sz w:val="24"/>
          <w:szCs w:val="24"/>
        </w:rPr>
        <w:t>HOTARARE  NR.</w:t>
      </w:r>
      <w:r w:rsidR="009069C3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A42493" w:rsidRPr="00A42493">
        <w:rPr>
          <w:rFonts w:ascii="Times New Roman" w:hAnsi="Times New Roman" w:cs="Times New Roman"/>
          <w:b/>
          <w:bCs/>
          <w:sz w:val="24"/>
          <w:szCs w:val="24"/>
        </w:rPr>
        <w:t>/30.</w:t>
      </w:r>
      <w:r w:rsidRPr="00A42493">
        <w:rPr>
          <w:rFonts w:ascii="Times New Roman" w:hAnsi="Times New Roman" w:cs="Times New Roman"/>
          <w:b/>
          <w:bCs/>
          <w:sz w:val="24"/>
          <w:szCs w:val="24"/>
        </w:rPr>
        <w:t>10.2025</w:t>
      </w:r>
    </w:p>
    <w:p w14:paraId="735CDE78" w14:textId="77777777" w:rsidR="00774257" w:rsidRPr="00A42493" w:rsidRDefault="00774257" w:rsidP="00A42493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493">
        <w:rPr>
          <w:rFonts w:ascii="Times New Roman" w:hAnsi="Times New Roman" w:cs="Times New Roman"/>
          <w:b/>
          <w:bCs/>
          <w:sz w:val="24"/>
          <w:szCs w:val="24"/>
        </w:rPr>
        <w:t xml:space="preserve">Privind atestarea la domeniul public al comunei Drajna a  imobilului </w:t>
      </w:r>
      <w:proofErr w:type="spellStart"/>
      <w:r w:rsidRPr="00A42493">
        <w:rPr>
          <w:rFonts w:ascii="Times New Roman" w:hAnsi="Times New Roman" w:cs="Times New Roman"/>
          <w:b/>
          <w:bCs/>
          <w:sz w:val="24"/>
          <w:szCs w:val="24"/>
        </w:rPr>
        <w:t>Gospodaria</w:t>
      </w:r>
      <w:proofErr w:type="spellEnd"/>
      <w:r w:rsidRPr="00A42493">
        <w:rPr>
          <w:rFonts w:ascii="Times New Roman" w:hAnsi="Times New Roman" w:cs="Times New Roman"/>
          <w:b/>
          <w:bCs/>
          <w:sz w:val="24"/>
          <w:szCs w:val="24"/>
        </w:rPr>
        <w:t xml:space="preserve"> de apa “Rezervor 500 mc Drajna de Sus”</w:t>
      </w:r>
    </w:p>
    <w:p w14:paraId="4CCF9D3A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3CF88D2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ab/>
        <w:t>Consiliul Local al comunei Drajna</w:t>
      </w:r>
    </w:p>
    <w:p w14:paraId="5BC0B675" w14:textId="4286C03E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in vedere proiectul de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de primarul comunei Drajna ,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insotit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de referatul de aprobare nr. 1341/07.10.2025  si raportul compartimentului de resort nr.10380/08.10.2025</w:t>
      </w:r>
    </w:p>
    <w:p w14:paraId="0B247C00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ab/>
        <w:t>In conformitate cu  prevederile:</w:t>
      </w:r>
    </w:p>
    <w:p w14:paraId="11B5C925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>-art. 286 alin.(1) si alin.  (4) si pct. 4 din Anexa 4 din OUG nr. 57/2019 privind Codul administrativ</w:t>
      </w:r>
    </w:p>
    <w:p w14:paraId="05F24C50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 xml:space="preserve">-art. 888 din legea 287/2009 privind Codul Civil, cu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ulterioare</w:t>
      </w:r>
    </w:p>
    <w:p w14:paraId="3B66518F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A42493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in vedere :</w:t>
      </w:r>
    </w:p>
    <w:p w14:paraId="5F53B323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 xml:space="preserve">-HCJ Prahova  nr. 359/20.12.2023 s-a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hotarat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actualizarea valorii de inventar a bunului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Gospodaria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de apa “Rezervor 500 mc Drajna de Sus” aflat in domeniul public al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 si in concesiune la Societatea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 SA, preluarea acestuia din concesiune de la Societatea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 SA si trecerea din domeniul public al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 in domeniul public al Comunei Drajna.</w:t>
      </w:r>
    </w:p>
    <w:p w14:paraId="290C3DE7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 xml:space="preserve">- protocolul si procesul verbal de predare -primire  nr. 4530/19.042024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intre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Hidro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 si ai  Consiliului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Prahova, in calitate de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predatori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comunei Drajna in calitate de primitori  </w:t>
      </w:r>
    </w:p>
    <w:p w14:paraId="55AF87E1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>- avizele de legalitate ale comisiilor Consiliului Local,</w:t>
      </w:r>
    </w:p>
    <w:p w14:paraId="49FCAF16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Hlk210811111"/>
      <w:r w:rsidRPr="00A42493">
        <w:rPr>
          <w:rFonts w:ascii="Times New Roman" w:hAnsi="Times New Roman" w:cs="Times New Roman"/>
          <w:sz w:val="24"/>
          <w:szCs w:val="24"/>
        </w:rPr>
        <w:t xml:space="preserve">În temeiul art. 196, alin. (1), lit. a) din OUG nr. 57 din 03. 07. 2019 privind Codul administrativ, cu modificările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bookmarkEnd w:id="0"/>
    </w:p>
    <w:p w14:paraId="0920EC13" w14:textId="518AD3D6" w:rsidR="00774257" w:rsidRPr="00A42493" w:rsidRDefault="00A42493" w:rsidP="00774257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493"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="00774257" w:rsidRPr="00A424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1ECFA4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F0D4C93" w14:textId="00EAC925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 w:rsidRPr="00A42493">
        <w:rPr>
          <w:rFonts w:ascii="Times New Roman" w:hAnsi="Times New Roman" w:cs="Times New Roman"/>
          <w:sz w:val="24"/>
          <w:szCs w:val="24"/>
        </w:rPr>
        <w:tab/>
        <w:t xml:space="preserve">ART. 1. (1) Se aproba atestarea la domeniul public al comunei Drajna a imobilului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Gospodaria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de apa “Rezervor 500 mc Drajna de Sus”,  cu valoare de inventar 742.386,00 lei </w:t>
      </w:r>
      <w:r w:rsidR="00A42493">
        <w:rPr>
          <w:rFonts w:ascii="Times New Roman" w:hAnsi="Times New Roman" w:cs="Times New Roman"/>
          <w:sz w:val="24"/>
          <w:szCs w:val="24"/>
        </w:rPr>
        <w:t>,</w:t>
      </w:r>
      <w:r w:rsidRPr="00A42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A42493">
        <w:rPr>
          <w:rFonts w:ascii="Times New Roman" w:hAnsi="Times New Roman" w:cs="Times New Roman"/>
          <w:sz w:val="24"/>
          <w:szCs w:val="24"/>
          <w:lang w:val="it-IT"/>
        </w:rPr>
        <w:t xml:space="preserve"> compus din:</w:t>
      </w:r>
    </w:p>
    <w:p w14:paraId="4C3F7BAB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  <w:lang w:val="it-IT"/>
        </w:rPr>
        <w:t xml:space="preserve">-constructia C1 -camera de comanda pompe nr. Niveluri 1, suprafata construita/desfasurata 21 mp, an constr. 2017, numar cadastral 20927 </w:t>
      </w:r>
    </w:p>
    <w:p w14:paraId="3A7827E9" w14:textId="4689EBDB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constructia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C2 -rezervor apa, nr. niveluri 1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construita /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133 mp,  an constr. 2017,numar cadastral 20927.    </w:t>
      </w:r>
    </w:p>
    <w:p w14:paraId="2E9FF8DA" w14:textId="77777777" w:rsidR="00774257" w:rsidRPr="00A42493" w:rsidRDefault="00774257" w:rsidP="00774257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42493">
        <w:rPr>
          <w:rFonts w:ascii="Times New Roman" w:hAnsi="Times New Roman" w:cs="Times New Roman"/>
          <w:sz w:val="24"/>
          <w:szCs w:val="24"/>
        </w:rPr>
        <w:tab/>
        <w:t xml:space="preserve">ART. 2. De aducerea la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a prezentei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hotarari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primarul comunei Drajna, prin aparatul de specialitate.                                                                                                                                            </w:t>
      </w:r>
      <w:r w:rsidRPr="00A42493">
        <w:rPr>
          <w:rFonts w:ascii="Times New Roman" w:hAnsi="Times New Roman" w:cs="Times New Roman"/>
          <w:sz w:val="24"/>
          <w:szCs w:val="24"/>
        </w:rPr>
        <w:tab/>
        <w:t xml:space="preserve">ART. 3. De aducerea la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persoanelor si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institutiilor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interesate </w:t>
      </w:r>
      <w:proofErr w:type="spellStart"/>
      <w:r w:rsidRPr="00A42493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42493">
        <w:rPr>
          <w:rFonts w:ascii="Times New Roman" w:hAnsi="Times New Roman" w:cs="Times New Roman"/>
          <w:sz w:val="24"/>
          <w:szCs w:val="24"/>
        </w:rPr>
        <w:t xml:space="preserve"> secretarul general al UAT.</w:t>
      </w:r>
    </w:p>
    <w:p w14:paraId="1BE70D61" w14:textId="77777777" w:rsidR="00A42493" w:rsidRDefault="00A42493" w:rsidP="00A42493">
      <w:pPr>
        <w:pStyle w:val="Frspaiere11"/>
        <w:rPr>
          <w:rFonts w:ascii="Times New Roman" w:hAnsi="Times New Roman" w:cs="Times New Roman"/>
        </w:rPr>
      </w:pPr>
    </w:p>
    <w:p w14:paraId="1E0C76CF" w14:textId="5349B4B8" w:rsidR="00A42493" w:rsidRPr="00A42493" w:rsidRDefault="00A42493" w:rsidP="00A42493">
      <w:pPr>
        <w:pStyle w:val="Frspaiere11"/>
        <w:rPr>
          <w:rFonts w:ascii="Times New Roman" w:hAnsi="Times New Roman" w:cs="Times New Roman"/>
        </w:rPr>
      </w:pPr>
      <w:r w:rsidRPr="00A42493">
        <w:rPr>
          <w:rFonts w:ascii="Times New Roman" w:hAnsi="Times New Roman" w:cs="Times New Roman"/>
        </w:rPr>
        <w:t xml:space="preserve">PRESEDINTE SEDINTA,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A42493">
        <w:rPr>
          <w:rFonts w:ascii="Times New Roman" w:hAnsi="Times New Roman" w:cs="Times New Roman"/>
        </w:rPr>
        <w:t xml:space="preserve">     CONTRASEMNEAZA,</w:t>
      </w:r>
    </w:p>
    <w:p w14:paraId="5F36A79B" w14:textId="2FD1FE4F" w:rsidR="00A42493" w:rsidRPr="00A42493" w:rsidRDefault="00A42493" w:rsidP="00A42493">
      <w:pPr>
        <w:pStyle w:val="Frspaiere11"/>
        <w:rPr>
          <w:rFonts w:ascii="Times New Roman" w:hAnsi="Times New Roman" w:cs="Times New Roman"/>
        </w:rPr>
      </w:pPr>
      <w:r w:rsidRPr="00A42493">
        <w:rPr>
          <w:rFonts w:ascii="Times New Roman" w:hAnsi="Times New Roman" w:cs="Times New Roman"/>
        </w:rPr>
        <w:t xml:space="preserve">BUCUR ADELINA ROMINA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A42493">
        <w:rPr>
          <w:rFonts w:ascii="Times New Roman" w:hAnsi="Times New Roman" w:cs="Times New Roman"/>
        </w:rPr>
        <w:t xml:space="preserve"> SECRETAR GENERAL UAT,</w:t>
      </w:r>
    </w:p>
    <w:p w14:paraId="4EC8DF4B" w14:textId="77777777" w:rsidR="00A42493" w:rsidRPr="00A42493" w:rsidRDefault="00A42493" w:rsidP="00A42493">
      <w:pPr>
        <w:pStyle w:val="Frspaiere11"/>
        <w:rPr>
          <w:rFonts w:ascii="Times New Roman" w:hAnsi="Times New Roman" w:cs="Times New Roman"/>
        </w:rPr>
      </w:pP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</w:r>
      <w:r w:rsidRPr="00A42493">
        <w:rPr>
          <w:rFonts w:ascii="Times New Roman" w:hAnsi="Times New Roman" w:cs="Times New Roman"/>
        </w:rPr>
        <w:tab/>
        <w:t xml:space="preserve">          RACOVITA RAMONA</w:t>
      </w:r>
    </w:p>
    <w:p w14:paraId="0B2B0F00" w14:textId="77777777" w:rsidR="00A42493" w:rsidRPr="00A42493" w:rsidRDefault="00A42493" w:rsidP="00A42493">
      <w:pPr>
        <w:pStyle w:val="Frspaiere11"/>
        <w:rPr>
          <w:rFonts w:ascii="Times New Roman" w:hAnsi="Times New Roman" w:cs="Times New Roman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A42493" w:rsidRPr="00A42493" w14:paraId="7819E22E" w14:textId="77777777" w:rsidTr="00735439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0E55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Sedinta</w:t>
            </w:r>
            <w:proofErr w:type="spellEnd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9005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 xml:space="preserve">Nr. consilieri in </w:t>
            </w:r>
            <w:proofErr w:type="spellStart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F20D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 xml:space="preserve">Nr. consilieri </w:t>
            </w:r>
            <w:proofErr w:type="spellStart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9538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5D89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62297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Nr. voturi „</w:t>
            </w:r>
            <w:proofErr w:type="spellStart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abtinere</w:t>
            </w:r>
            <w:proofErr w:type="spellEnd"/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A42493" w:rsidRPr="00A42493" w14:paraId="5F83A9FA" w14:textId="77777777" w:rsidTr="00735439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EB0F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6B19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9751" w14:textId="18C7FEDB" w:rsidR="00A42493" w:rsidRPr="00A42493" w:rsidRDefault="00836F01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D438" w14:textId="5A1E4739" w:rsidR="00A42493" w:rsidRPr="00A42493" w:rsidRDefault="00836F01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415C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382B" w14:textId="77777777" w:rsidR="00A42493" w:rsidRPr="00A42493" w:rsidRDefault="00A42493" w:rsidP="00735439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1A25622" w14:textId="77777777" w:rsidR="001837A7" w:rsidRPr="00A42493" w:rsidRDefault="001837A7" w:rsidP="00774257">
      <w:pPr>
        <w:pStyle w:val="Frspaiere"/>
        <w:rPr>
          <w:rFonts w:ascii="Times New Roman" w:hAnsi="Times New Roman" w:cs="Times New Roman"/>
          <w:sz w:val="20"/>
          <w:szCs w:val="20"/>
        </w:rPr>
      </w:pPr>
    </w:p>
    <w:sectPr w:rsidR="001837A7" w:rsidRPr="00A42493" w:rsidSect="00A42493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3C"/>
    <w:rsid w:val="0003252D"/>
    <w:rsid w:val="00061259"/>
    <w:rsid w:val="00103D65"/>
    <w:rsid w:val="001837A7"/>
    <w:rsid w:val="00230133"/>
    <w:rsid w:val="00263467"/>
    <w:rsid w:val="002765C9"/>
    <w:rsid w:val="002D3EC9"/>
    <w:rsid w:val="003A389A"/>
    <w:rsid w:val="003F31E5"/>
    <w:rsid w:val="004C132C"/>
    <w:rsid w:val="004F640D"/>
    <w:rsid w:val="00774257"/>
    <w:rsid w:val="0082076C"/>
    <w:rsid w:val="00836F01"/>
    <w:rsid w:val="00850310"/>
    <w:rsid w:val="009069C3"/>
    <w:rsid w:val="009475BF"/>
    <w:rsid w:val="00A42493"/>
    <w:rsid w:val="00AA3E7D"/>
    <w:rsid w:val="00AC545C"/>
    <w:rsid w:val="00BF12CA"/>
    <w:rsid w:val="00C4429C"/>
    <w:rsid w:val="00C931BD"/>
    <w:rsid w:val="00CA127B"/>
    <w:rsid w:val="00CE713C"/>
    <w:rsid w:val="00C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EECC"/>
  <w15:chartTrackingRefBased/>
  <w15:docId w15:val="{8B1F8185-35BC-4AA7-8A2E-03BD6473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7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7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7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7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7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7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7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7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7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7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713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713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713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713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713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713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CE7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CE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713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713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713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7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713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713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774257"/>
    <w:pPr>
      <w:spacing w:after="0" w:line="240" w:lineRule="auto"/>
    </w:pPr>
  </w:style>
  <w:style w:type="paragraph" w:customStyle="1" w:styleId="Frspaiere11">
    <w:name w:val="Fără spațiere11"/>
    <w:qFormat/>
    <w:rsid w:val="00A4249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dcterms:created xsi:type="dcterms:W3CDTF">2025-10-09T05:27:00Z</dcterms:created>
  <dcterms:modified xsi:type="dcterms:W3CDTF">2025-10-31T08:54:00Z</dcterms:modified>
</cp:coreProperties>
</file>